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7366F" w14:textId="53F47CB8" w:rsidR="0080374A" w:rsidRDefault="00DB0DD4" w:rsidP="00AA04F7">
      <w:pPr>
        <w:widowControl/>
        <w:spacing w:line="560" w:lineRule="exact"/>
        <w:jc w:val="left"/>
        <w:rPr>
          <w:rFonts w:ascii="仿宋_GB2312" w:eastAsia="仿宋_GB2312" w:hAnsi="仿宋_GB2312" w:cs="仿宋_GB2312" w:hint="eastAsia"/>
          <w:b/>
          <w:sz w:val="30"/>
          <w:szCs w:val="30"/>
        </w:rPr>
      </w:pPr>
      <w:r>
        <w:rPr>
          <w:rFonts w:ascii="仿宋_GB2312" w:eastAsia="仿宋_GB2312" w:hAnsi="仿宋_GB2312" w:cs="仿宋_GB2312" w:hint="eastAsia"/>
          <w:b/>
          <w:kern w:val="0"/>
          <w:sz w:val="30"/>
          <w:szCs w:val="30"/>
        </w:rPr>
        <w:t>附件2</w:t>
      </w:r>
    </w:p>
    <w:p w14:paraId="18573670" w14:textId="77777777" w:rsidR="0080374A" w:rsidRDefault="0080374A">
      <w:pPr>
        <w:widowControl/>
        <w:spacing w:line="360" w:lineRule="auto"/>
        <w:jc w:val="left"/>
        <w:rPr>
          <w:rFonts w:ascii="仿宋_GB2312" w:eastAsia="仿宋_GB2312" w:hAnsi="仿宋_GB2312" w:cs="仿宋_GB2312" w:hint="eastAsia"/>
          <w:kern w:val="0"/>
          <w:sz w:val="30"/>
          <w:szCs w:val="30"/>
        </w:rPr>
      </w:pPr>
    </w:p>
    <w:p w14:paraId="18573671" w14:textId="77777777" w:rsidR="0080374A" w:rsidRDefault="00DB0DD4">
      <w:pPr>
        <w:spacing w:line="360" w:lineRule="auto"/>
        <w:ind w:right="32"/>
        <w:jc w:val="center"/>
        <w:rPr>
          <w:rFonts w:ascii="黑体" w:eastAsia="黑体" w:hAnsi="黑体" w:cs="黑体" w:hint="eastAsia"/>
          <w:b/>
          <w:bCs/>
          <w:sz w:val="44"/>
          <w:szCs w:val="44"/>
        </w:rPr>
      </w:pPr>
      <w:r>
        <w:rPr>
          <w:rFonts w:ascii="黑体" w:eastAsia="黑体" w:hAnsi="黑体" w:cs="黑体" w:hint="eastAsia"/>
          <w:b/>
          <w:bCs/>
          <w:sz w:val="44"/>
          <w:szCs w:val="44"/>
        </w:rPr>
        <w:t>上市公司重大资产重组预案格式</w:t>
      </w:r>
    </w:p>
    <w:p w14:paraId="18573672" w14:textId="77777777" w:rsidR="0080374A" w:rsidRDefault="0080374A">
      <w:pPr>
        <w:spacing w:line="360" w:lineRule="auto"/>
        <w:jc w:val="center"/>
        <w:rPr>
          <w:rFonts w:ascii="黑体" w:eastAsia="黑体" w:hAnsi="黑体" w:hint="eastAsia"/>
          <w:sz w:val="36"/>
          <w:szCs w:val="36"/>
        </w:rPr>
      </w:pPr>
    </w:p>
    <w:p w14:paraId="18573673"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第一节</w:t>
      </w:r>
      <w:r>
        <w:rPr>
          <w:rFonts w:ascii="仿宋_GB2312" w:eastAsia="仿宋_GB2312" w:hAnsi="宋体" w:cs="宋体"/>
          <w:b/>
          <w:sz w:val="30"/>
          <w:szCs w:val="30"/>
        </w:rPr>
        <w:t xml:space="preserve"> 总则</w:t>
      </w:r>
    </w:p>
    <w:p w14:paraId="18573674"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一、上市公司进行重大资产重组的，在首次召开董事会前，相关资产尚未完成审计、估值或评估，应当在首次董事会决议公告的同时按照本指引披露重大资产重组预案（以下简称重组预案）。</w:t>
      </w:r>
    </w:p>
    <w:p w14:paraId="18573675"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二、本指引是对上市公司重组预案信息披露的最低要求。不论本指引是否有明确规定，凡对上市公司股票及其衍生品交易价格可能产生较大影响或对投资者做出投资决策有重大影响的信息，均应披露。</w:t>
      </w:r>
    </w:p>
    <w:p w14:paraId="18573676"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本指引某些具体要求对本次重组预案确实不适用的，上市公司可根据实际情况，在不影响披露内容完整性的前提下予以适当调整，但应当在信息披露时</w:t>
      </w:r>
      <w:proofErr w:type="gramStart"/>
      <w:r>
        <w:rPr>
          <w:rFonts w:ascii="仿宋_GB2312" w:eastAsia="仿宋_GB2312" w:hAnsi="宋体" w:cs="宋体" w:hint="eastAsia"/>
          <w:sz w:val="30"/>
          <w:szCs w:val="30"/>
        </w:rPr>
        <w:t>作出</w:t>
      </w:r>
      <w:proofErr w:type="gramEnd"/>
      <w:r>
        <w:rPr>
          <w:rFonts w:ascii="仿宋_GB2312" w:eastAsia="仿宋_GB2312" w:hAnsi="宋体" w:cs="宋体" w:hint="eastAsia"/>
          <w:sz w:val="30"/>
          <w:szCs w:val="30"/>
        </w:rPr>
        <w:t>说明。</w:t>
      </w:r>
    </w:p>
    <w:p w14:paraId="18573677"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本所可以根据监管实际需要，要求上市公司补充披露其他有关信息。</w:t>
      </w:r>
    </w:p>
    <w:p w14:paraId="18573678"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三、上市公司应当在证券交易所网站披露重组预案全文。</w:t>
      </w:r>
    </w:p>
    <w:p w14:paraId="18573679"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第二节 封面、目录、释义</w:t>
      </w:r>
    </w:p>
    <w:p w14:paraId="1857367A"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四、上市公司应当在重组预案文本封面列明重组预案的标题。重组预案标题应当明确具体交易形式，包括但不限于：××公司</w:t>
      </w:r>
      <w:r>
        <w:rPr>
          <w:rFonts w:ascii="仿宋_GB2312" w:eastAsia="仿宋_GB2312" w:hAnsi="宋体" w:cs="宋体" w:hint="eastAsia"/>
          <w:sz w:val="30"/>
          <w:szCs w:val="30"/>
        </w:rPr>
        <w:lastRenderedPageBreak/>
        <w:t>重大资产购买预案、××公司重大资产出售预案、××公司重大资产置换预案、××公司发行股份购买资产预案、××公司吸收合并××公司预案。资产重组采取其他交易形式的，应当在标题中予以明确。</w:t>
      </w:r>
    </w:p>
    <w:p w14:paraId="1857367B"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资产重组采取两种以上交易形式组合的，应当在标题中列明，如“××公司重大资产置换及发行股份购买资产预案”；发行股份购买资产同时募集配套资金的，应当在标题中标明“并募集配套资金”，如“××公司发行股份购买资产并募集配套资金预案”；资产重组构成关联交易的，还应当在标题中标明“暨关联交易”的字样，如“××公司重大资产购买暨关联交易预案”。</w:t>
      </w:r>
    </w:p>
    <w:p w14:paraId="1857367C"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封面应当载明上市公司名称、股票代码、股票简称、主要交易对方的名称或姓名、重组预案签署日期、独立财务顾问名称。</w:t>
      </w:r>
    </w:p>
    <w:p w14:paraId="1857367D"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五、重组预案的目录应当标明各章、节的标题及相应的页码，内容编排应当符合通行的中文惯例。</w:t>
      </w:r>
    </w:p>
    <w:p w14:paraId="1857367E"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六、上市公司应当在重组预案中对可能造成投资者理解障碍及有特定含义的术语</w:t>
      </w:r>
      <w:proofErr w:type="gramStart"/>
      <w:r>
        <w:rPr>
          <w:rFonts w:ascii="仿宋_GB2312" w:eastAsia="仿宋_GB2312" w:hAnsi="宋体" w:cs="宋体" w:hint="eastAsia"/>
          <w:sz w:val="30"/>
          <w:szCs w:val="30"/>
        </w:rPr>
        <w:t>作出</w:t>
      </w:r>
      <w:proofErr w:type="gramEnd"/>
      <w:r>
        <w:rPr>
          <w:rFonts w:ascii="仿宋_GB2312" w:eastAsia="仿宋_GB2312" w:hAnsi="宋体" w:cs="宋体" w:hint="eastAsia"/>
          <w:sz w:val="30"/>
          <w:szCs w:val="30"/>
        </w:rPr>
        <w:t>释义，释义应当在目录次页排印。</w:t>
      </w:r>
    </w:p>
    <w:p w14:paraId="1857367F"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第三节 交易各方声明</w:t>
      </w:r>
    </w:p>
    <w:p w14:paraId="18573680"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七、上市公司应当在重组预案中载明：“本公司及全体董事、高级管理人员保证本预案内容的真实、准确、完整，对预案的虚假记载、误导性陈述或者重大遗漏负相应</w:t>
      </w:r>
      <w:r>
        <w:rPr>
          <w:rFonts w:ascii="仿宋_GB2312" w:eastAsia="仿宋_GB2312" w:hAnsi="宋体" w:cs="宋体"/>
          <w:sz w:val="30"/>
          <w:szCs w:val="30"/>
        </w:rPr>
        <w:t>的</w:t>
      </w:r>
      <w:r>
        <w:rPr>
          <w:rFonts w:ascii="仿宋_GB2312" w:eastAsia="仿宋_GB2312" w:hAnsi="宋体" w:cs="宋体" w:hint="eastAsia"/>
          <w:sz w:val="30"/>
          <w:szCs w:val="30"/>
        </w:rPr>
        <w:t>法律责任”。</w:t>
      </w:r>
    </w:p>
    <w:p w14:paraId="18573681"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上市公司董事会应当声明：“本预案所述事项并不代表中国证监会、上海证券交易所对该证券的投资价值或者投资者收益</w:t>
      </w:r>
      <w:proofErr w:type="gramStart"/>
      <w:r>
        <w:rPr>
          <w:rFonts w:ascii="仿宋_GB2312" w:eastAsia="仿宋_GB2312" w:hAnsi="宋体" w:cs="宋体" w:hint="eastAsia"/>
          <w:sz w:val="30"/>
          <w:szCs w:val="30"/>
        </w:rPr>
        <w:t>作</w:t>
      </w:r>
      <w:r>
        <w:rPr>
          <w:rFonts w:ascii="仿宋_GB2312" w:eastAsia="仿宋_GB2312" w:hAnsi="宋体" w:cs="宋体" w:hint="eastAsia"/>
          <w:sz w:val="30"/>
          <w:szCs w:val="30"/>
        </w:rPr>
        <w:lastRenderedPageBreak/>
        <w:t>出</w:t>
      </w:r>
      <w:proofErr w:type="gramEnd"/>
      <w:r>
        <w:rPr>
          <w:rFonts w:ascii="仿宋_GB2312" w:eastAsia="仿宋_GB2312" w:hAnsi="宋体" w:cs="宋体" w:hint="eastAsia"/>
          <w:sz w:val="30"/>
          <w:szCs w:val="30"/>
        </w:rPr>
        <w:t>实质判断或者保证，也不表明中国证监会和证券交易所对重组预案的真实性、准确性、完整性</w:t>
      </w:r>
      <w:proofErr w:type="gramStart"/>
      <w:r>
        <w:rPr>
          <w:rFonts w:ascii="仿宋_GB2312" w:eastAsia="仿宋_GB2312" w:hAnsi="宋体" w:cs="宋体" w:hint="eastAsia"/>
          <w:sz w:val="30"/>
          <w:szCs w:val="30"/>
        </w:rPr>
        <w:t>作出</w:t>
      </w:r>
      <w:proofErr w:type="gramEnd"/>
      <w:r>
        <w:rPr>
          <w:rFonts w:ascii="仿宋_GB2312" w:eastAsia="仿宋_GB2312" w:hAnsi="宋体" w:cs="宋体" w:hint="eastAsia"/>
          <w:sz w:val="30"/>
          <w:szCs w:val="30"/>
        </w:rPr>
        <w:t>保证。本预案所述本次重大资产重组相关事项的生效和完成尚待取得上海证券交易所的审核、中国证监会的注册（如适用）”。</w:t>
      </w:r>
    </w:p>
    <w:p w14:paraId="18573682"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八、交易对方应当声明：“本次重大资产重组的交易对方</w:t>
      </w:r>
      <w:r>
        <w:rPr>
          <w:rFonts w:ascii="仿宋_GB2312" w:eastAsia="仿宋_GB2312" w:hint="eastAsia"/>
          <w:sz w:val="30"/>
          <w:szCs w:val="30"/>
        </w:rPr>
        <w:t>×××</w:t>
      </w:r>
      <w:r>
        <w:rPr>
          <w:rFonts w:ascii="仿宋_GB2312" w:eastAsia="仿宋_GB2312" w:hAnsi="宋体" w:cs="宋体" w:hint="eastAsia"/>
          <w:sz w:val="30"/>
          <w:szCs w:val="30"/>
        </w:rPr>
        <w:t>已出具承诺函，将及时向上市公司提供本次重组相关信息，并保证所提供的信息真实、准确、完整，如因提供的信息存在虚假记载、误导性陈述或者重大遗漏，给上市公司或者投资者造成损失的，将依法承担相应的法律责任”。</w:t>
      </w:r>
    </w:p>
    <w:p w14:paraId="18573683"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九、相关证券服务机构及人员应当声明（如适用）：“本次重大资产重组的证券服务机构</w:t>
      </w:r>
      <w:r>
        <w:rPr>
          <w:rFonts w:ascii="仿宋_GB2312" w:eastAsia="仿宋_GB2312" w:hint="eastAsia"/>
          <w:sz w:val="30"/>
          <w:szCs w:val="30"/>
        </w:rPr>
        <w:t>×××</w:t>
      </w:r>
      <w:r>
        <w:rPr>
          <w:rFonts w:ascii="仿宋_GB2312" w:eastAsia="仿宋_GB2312" w:hAnsi="宋体" w:cs="宋体" w:hint="eastAsia"/>
          <w:sz w:val="30"/>
          <w:szCs w:val="30"/>
        </w:rPr>
        <w:t>及人员</w:t>
      </w:r>
      <w:r>
        <w:rPr>
          <w:rFonts w:ascii="仿宋_GB2312" w:eastAsia="仿宋_GB2312" w:hint="eastAsia"/>
          <w:sz w:val="30"/>
          <w:szCs w:val="30"/>
        </w:rPr>
        <w:t>×××</w:t>
      </w:r>
      <w:r>
        <w:rPr>
          <w:rFonts w:ascii="仿宋_GB2312" w:eastAsia="仿宋_GB2312" w:hAnsi="宋体" w:cs="宋体" w:hint="eastAsia"/>
          <w:sz w:val="30"/>
          <w:szCs w:val="30"/>
        </w:rPr>
        <w:t>保证披露文件的真实、准确、完整，如本次重组申请文件存在虚假记载、误导性陈述或重大遗漏，且该证券服务机构未能勤勉尽责的，将承担相应的法律责任”。</w:t>
      </w:r>
    </w:p>
    <w:p w14:paraId="18573684"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十、上市公司控股股东、实际控制人、董事、高级管理人员及交易对方</w:t>
      </w:r>
      <w:r>
        <w:rPr>
          <w:rFonts w:ascii="仿宋_GB2312" w:eastAsia="仿宋_GB2312" w:hAnsi="宋体" w:cs="宋体"/>
          <w:sz w:val="30"/>
          <w:szCs w:val="30"/>
        </w:rPr>
        <w:t>应当</w:t>
      </w:r>
      <w:r>
        <w:rPr>
          <w:rFonts w:ascii="仿宋_GB2312" w:eastAsia="仿宋_GB2312" w:hAnsi="宋体" w:cs="宋体" w:hint="eastAsia"/>
          <w:sz w:val="30"/>
          <w:szCs w:val="30"/>
        </w:rPr>
        <w:t>声明：如本次交易所披露或提供的信息涉嫌虚假记载、误导性陈述或者重大遗漏，被司法机关立案侦查或者被中国证监会立案调查的，在形成调查结论以前，不转让在该上市公司拥有权益的股份，并于收到立案稽查通知的2个交易日内将暂停转让的书面申请和股票账户提交上市公司董事会，由董事会代其向证券交易所和</w:t>
      </w:r>
      <w:r>
        <w:rPr>
          <w:rFonts w:ascii="仿宋_GB2312" w:eastAsia="仿宋_GB2312" w:hAnsi="宋体" w:cs="宋体"/>
          <w:sz w:val="30"/>
          <w:szCs w:val="30"/>
        </w:rPr>
        <w:t>证券</w:t>
      </w:r>
      <w:r>
        <w:rPr>
          <w:rFonts w:ascii="仿宋_GB2312" w:eastAsia="仿宋_GB2312" w:hAnsi="宋体" w:cs="宋体" w:hint="eastAsia"/>
          <w:sz w:val="30"/>
          <w:szCs w:val="30"/>
        </w:rPr>
        <w:t>登记结算</w:t>
      </w:r>
      <w:r>
        <w:rPr>
          <w:rFonts w:ascii="仿宋_GB2312" w:eastAsia="仿宋_GB2312" w:hAnsi="宋体" w:cs="宋体"/>
          <w:sz w:val="30"/>
          <w:szCs w:val="30"/>
        </w:rPr>
        <w:t>机构</w:t>
      </w:r>
      <w:r>
        <w:rPr>
          <w:rFonts w:ascii="仿宋_GB2312" w:eastAsia="仿宋_GB2312" w:hAnsi="宋体" w:cs="宋体" w:hint="eastAsia"/>
          <w:sz w:val="30"/>
          <w:szCs w:val="30"/>
        </w:rPr>
        <w:t>申请锁定；未在2个交易日内提交锁定申请的，授权董事会核实后直接向证券交易所和</w:t>
      </w:r>
      <w:r>
        <w:rPr>
          <w:rFonts w:ascii="仿宋_GB2312" w:eastAsia="仿宋_GB2312" w:hAnsi="宋体" w:cs="宋体"/>
          <w:sz w:val="30"/>
          <w:szCs w:val="30"/>
        </w:rPr>
        <w:t>证券</w:t>
      </w:r>
      <w:r>
        <w:rPr>
          <w:rFonts w:ascii="仿宋_GB2312" w:eastAsia="仿宋_GB2312" w:hAnsi="宋体" w:cs="宋体" w:hint="eastAsia"/>
          <w:sz w:val="30"/>
          <w:szCs w:val="30"/>
        </w:rPr>
        <w:lastRenderedPageBreak/>
        <w:t>登记结算</w:t>
      </w:r>
      <w:r>
        <w:rPr>
          <w:rFonts w:ascii="仿宋_GB2312" w:eastAsia="仿宋_GB2312" w:hAnsi="宋体" w:cs="宋体"/>
          <w:sz w:val="30"/>
          <w:szCs w:val="30"/>
        </w:rPr>
        <w:t>机构</w:t>
      </w:r>
      <w:r>
        <w:rPr>
          <w:rFonts w:ascii="仿宋_GB2312" w:eastAsia="仿宋_GB2312" w:hAnsi="宋体" w:cs="宋体" w:hint="eastAsia"/>
          <w:sz w:val="30"/>
          <w:szCs w:val="30"/>
        </w:rPr>
        <w:t>报送本人或本单位的身份信息和账户信息并申请锁定；董事会未向证券交易所和</w:t>
      </w:r>
      <w:r>
        <w:rPr>
          <w:rFonts w:ascii="仿宋_GB2312" w:eastAsia="仿宋_GB2312" w:hAnsi="宋体" w:cs="宋体"/>
          <w:sz w:val="30"/>
          <w:szCs w:val="30"/>
        </w:rPr>
        <w:t>证券</w:t>
      </w:r>
      <w:r>
        <w:rPr>
          <w:rFonts w:ascii="仿宋_GB2312" w:eastAsia="仿宋_GB2312" w:hAnsi="宋体" w:cs="宋体" w:hint="eastAsia"/>
          <w:sz w:val="30"/>
          <w:szCs w:val="30"/>
        </w:rPr>
        <w:t>登记结算</w:t>
      </w:r>
      <w:r>
        <w:rPr>
          <w:rFonts w:ascii="仿宋_GB2312" w:eastAsia="仿宋_GB2312" w:hAnsi="宋体" w:cs="宋体"/>
          <w:sz w:val="30"/>
          <w:szCs w:val="30"/>
        </w:rPr>
        <w:t>机构</w:t>
      </w:r>
      <w:r>
        <w:rPr>
          <w:rFonts w:ascii="仿宋_GB2312" w:eastAsia="仿宋_GB2312" w:hAnsi="宋体" w:cs="宋体" w:hint="eastAsia"/>
          <w:sz w:val="30"/>
          <w:szCs w:val="30"/>
        </w:rPr>
        <w:t>报送本人或本单位的身份信息和账户信息的，授权证券交易所和</w:t>
      </w:r>
      <w:r>
        <w:rPr>
          <w:rFonts w:ascii="仿宋_GB2312" w:eastAsia="仿宋_GB2312" w:hAnsi="宋体" w:cs="宋体"/>
          <w:sz w:val="30"/>
          <w:szCs w:val="30"/>
        </w:rPr>
        <w:t>证券</w:t>
      </w:r>
      <w:r>
        <w:rPr>
          <w:rFonts w:ascii="仿宋_GB2312" w:eastAsia="仿宋_GB2312" w:hAnsi="宋体" w:cs="宋体" w:hint="eastAsia"/>
          <w:sz w:val="30"/>
          <w:szCs w:val="30"/>
        </w:rPr>
        <w:t>登记结算</w:t>
      </w:r>
      <w:r>
        <w:rPr>
          <w:rFonts w:ascii="仿宋_GB2312" w:eastAsia="仿宋_GB2312" w:hAnsi="宋体" w:cs="宋体"/>
          <w:sz w:val="30"/>
          <w:szCs w:val="30"/>
        </w:rPr>
        <w:t>机构</w:t>
      </w:r>
      <w:r>
        <w:rPr>
          <w:rFonts w:ascii="仿宋_GB2312" w:eastAsia="仿宋_GB2312" w:hAnsi="宋体" w:cs="宋体" w:hint="eastAsia"/>
          <w:sz w:val="30"/>
          <w:szCs w:val="30"/>
        </w:rPr>
        <w:t>直接锁定相关股份。如调查结论发现存在违法违规情节，本人或本单位承诺锁定股份自愿用于相关投资者赔偿安排。</w:t>
      </w:r>
    </w:p>
    <w:p w14:paraId="18573685"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第四节 重大事项提示</w:t>
      </w:r>
    </w:p>
    <w:p w14:paraId="18573686"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十一、上市公司应当在重大事项提示部分，就与本次重组有关的重大事项进行提示，包括但不限于以下内容：</w:t>
      </w:r>
    </w:p>
    <w:p w14:paraId="18573687" w14:textId="77777777" w:rsidR="0080374A" w:rsidRDefault="00DB0DD4">
      <w:pPr>
        <w:spacing w:line="360" w:lineRule="auto"/>
        <w:ind w:firstLineChars="200" w:firstLine="600"/>
        <w:outlineLvl w:val="0"/>
        <w:rPr>
          <w:rFonts w:ascii="仿宋_GB2312" w:eastAsia="仿宋_GB2312" w:hAnsi="宋体" w:cs="宋体" w:hint="eastAsia"/>
          <w:sz w:val="30"/>
          <w:szCs w:val="30"/>
        </w:rPr>
      </w:pPr>
      <w:r>
        <w:rPr>
          <w:rFonts w:ascii="仿宋_GB2312" w:eastAsia="仿宋_GB2312" w:hAnsi="宋体" w:cs="宋体" w:hint="eastAsia"/>
          <w:sz w:val="30"/>
          <w:szCs w:val="30"/>
        </w:rPr>
        <w:t>（一）本次重组方案的简要介绍，其中应说明本次重组是否构成关联交易、重大资产重组、重组上市；本次购买资产的交易标的是否符合板块定位（如适用）、是否属于上市公司的同行业或上下游、是否与上市公司主营业务具有协同效应。</w:t>
      </w:r>
    </w:p>
    <w:p w14:paraId="18573688"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（二）本次交易标的评估/估值及作价情况，或预估作价情况的简要介绍（如适用）。</w:t>
      </w:r>
    </w:p>
    <w:p w14:paraId="18573689"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（三）本次重组支付方式的简要介绍。</w:t>
      </w:r>
    </w:p>
    <w:p w14:paraId="1857368A"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（四）本次重组募集配套资金情况的简要介绍（如适用）。</w:t>
      </w:r>
    </w:p>
    <w:p w14:paraId="1857368B"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第五节 重大风险提示</w:t>
      </w:r>
    </w:p>
    <w:p w14:paraId="1857368C" w14:textId="77777777" w:rsidR="0080374A" w:rsidRDefault="00DB0DD4">
      <w:pPr>
        <w:spacing w:line="360" w:lineRule="auto"/>
        <w:ind w:firstLineChars="200" w:firstLine="600"/>
        <w:rPr>
          <w:rFonts w:ascii="仿宋_GB2312" w:eastAsia="仿宋_GB2312" w:hAnsi="宋体" w:cs="宋体" w:hint="eastAsia"/>
          <w:b/>
          <w:sz w:val="30"/>
          <w:szCs w:val="30"/>
        </w:rPr>
      </w:pPr>
      <w:r>
        <w:rPr>
          <w:rFonts w:ascii="仿宋_GB2312" w:eastAsia="仿宋_GB2312" w:hAnsi="宋体" w:cs="宋体" w:hint="eastAsia"/>
          <w:sz w:val="30"/>
          <w:szCs w:val="30"/>
        </w:rPr>
        <w:t>十二、上市公司应当针对本次重组的实际情况，遵循重要性和相关性原则，在第十一节“风险因素</w:t>
      </w:r>
      <w:r>
        <w:rPr>
          <w:rFonts w:ascii="仿宋_GB2312" w:eastAsia="仿宋_GB2312" w:hAnsi="宋体" w:cs="宋体"/>
          <w:sz w:val="30"/>
          <w:szCs w:val="30"/>
        </w:rPr>
        <w:t>”</w:t>
      </w:r>
      <w:r>
        <w:rPr>
          <w:rFonts w:ascii="仿宋_GB2312" w:eastAsia="仿宋_GB2312" w:hAnsi="宋体" w:cs="宋体" w:hint="eastAsia"/>
          <w:sz w:val="30"/>
          <w:szCs w:val="30"/>
        </w:rPr>
        <w:t>基础上，选择若干可能直接或间接对本次重组及重组后上市公司生产经营状况、财务状况和持续经营能力等产生严重不利影响的风险因素，进行“重大风险提示”。不得简单重复第十一节“风险因素”的相关内容。</w:t>
      </w:r>
    </w:p>
    <w:p w14:paraId="1857368D"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lastRenderedPageBreak/>
        <w:t>第六节 本次交易概况</w:t>
      </w:r>
    </w:p>
    <w:p w14:paraId="1857368E"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十三、本次交易的背景及目的概况。</w:t>
      </w:r>
    </w:p>
    <w:p w14:paraId="1857368F"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十四、本次交易的方案概况，方案介绍中应当披露本次交易是否构成《上市公司重大资产重组管理办法》（以下简称《重组办法》）第十二条规定的重大资产重组，以及按《重组办法》规定计算的相关指标；本次交易是否构成关联交易，如构成关联交易，应披露构成关联交易的原因、涉及董事和股东的回避表决安排；本次交易是否构成重组上市及判断依据。</w:t>
      </w:r>
    </w:p>
    <w:p w14:paraId="18573690"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第七节 上市公司基本情况</w:t>
      </w:r>
    </w:p>
    <w:p w14:paraId="18573691"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十五、上市公司最近36个月的控制权变动情况，最近3年的主营业务发展情况，以及因本次交易导致的股权控制结构的预计变化情况。</w:t>
      </w:r>
    </w:p>
    <w:p w14:paraId="18573692"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第八节 主要交易对方</w:t>
      </w:r>
    </w:p>
    <w:p w14:paraId="18573693"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十六、主要交易对方基本情况。</w:t>
      </w:r>
    </w:p>
    <w:p w14:paraId="18573694"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主要交易对方为法人的，应当披露其名称、注册地、法定代表人，与其控股股东、实际控制人之间的产权及控制关系结构图；</w:t>
      </w:r>
    </w:p>
    <w:p w14:paraId="18573695"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主要交易对方为自然人的，应当披露其姓名（包括曾用名）、性别、国籍、是否取得其他国家或者地区的居留权等；</w:t>
      </w:r>
    </w:p>
    <w:p w14:paraId="18573696"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主要交易对方为其他主体的，应当披露其名称、性质，如为合伙企业，还应披露合伙企业相关的产权及控制关系、主要合伙人等情况。</w:t>
      </w:r>
    </w:p>
    <w:p w14:paraId="18573697"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上市公司以公开招标、公开拍卖等方式购买或出售资产的，</w:t>
      </w:r>
      <w:r>
        <w:rPr>
          <w:rFonts w:ascii="仿宋_GB2312" w:eastAsia="仿宋_GB2312" w:hAnsi="宋体" w:cs="宋体" w:hint="eastAsia"/>
          <w:sz w:val="30"/>
          <w:szCs w:val="30"/>
        </w:rPr>
        <w:lastRenderedPageBreak/>
        <w:t>如确实无法在重组预案中披露交易对方基本情况，应说明无法披露的原因及影响。</w:t>
      </w:r>
    </w:p>
    <w:p w14:paraId="18573698"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上市公司以公开招标、公开拍卖等方式购买或出售资产的，可以在履行相关授权程序（如涉及）后先行披露重组预案，也可以由上市公司及有关各方充分履行保密义务，在明确交易对方、交易价格等要素后直接披露重组报告书，并履行董事会、股东会审议程序。</w:t>
      </w:r>
    </w:p>
    <w:p w14:paraId="18573699"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第九节 交易标的</w:t>
      </w:r>
    </w:p>
    <w:p w14:paraId="1857369A"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十七、交易标的基本情况，包括：</w:t>
      </w:r>
    </w:p>
    <w:p w14:paraId="1857369B"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（一）交易标的名称、企业性质、注册地、主要办公地点、法定代表人、注册资本、成立日期；</w:t>
      </w:r>
    </w:p>
    <w:p w14:paraId="1857369C" w14:textId="77777777" w:rsidR="0080374A" w:rsidRDefault="00DB0DD4">
      <w:pPr>
        <w:spacing w:line="360" w:lineRule="auto"/>
        <w:ind w:firstLineChars="200" w:firstLine="600"/>
        <w:outlineLvl w:val="0"/>
        <w:rPr>
          <w:rFonts w:ascii="仿宋_GB2312" w:eastAsia="仿宋_GB2312" w:hAnsi="宋体" w:cs="宋体" w:hint="eastAsia"/>
          <w:sz w:val="30"/>
          <w:szCs w:val="30"/>
        </w:rPr>
      </w:pPr>
      <w:r>
        <w:rPr>
          <w:rFonts w:ascii="仿宋_GB2312" w:eastAsia="仿宋_GB2312" w:hAnsi="宋体" w:cs="宋体" w:hint="eastAsia"/>
          <w:sz w:val="30"/>
          <w:szCs w:val="30"/>
        </w:rPr>
        <w:t>（二）交易标的产权及控制关系；</w:t>
      </w:r>
    </w:p>
    <w:p w14:paraId="1857369D"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（三）交易标的报告期（本指引所述报告期指最近2年及一期，如初步估算属于重组上市的情形，报告期指最近3年及一期）主营业务，包括主要产品或服务、盈利模式、核心竞争力等概要情况等；</w:t>
      </w:r>
    </w:p>
    <w:p w14:paraId="1857369E"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（四）交易标的报告期主要财务指标（包括总资产、净资产、营业收入、净利润、经营活动产生的现金流量净额等），并说明是否为经审计数；</w:t>
      </w:r>
    </w:p>
    <w:p w14:paraId="1857369F"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交易标的属于境外资产或者通过公开招标、公开拍卖等方式购买的，如确实无法披露财务数据，应说明无法披露的原因和影响，并提出解决方案；</w:t>
      </w:r>
    </w:p>
    <w:p w14:paraId="185736A0" w14:textId="77777777" w:rsidR="0080374A" w:rsidRDefault="00DB0DD4">
      <w:pPr>
        <w:numPr>
          <w:ilvl w:val="0"/>
          <w:numId w:val="3"/>
        </w:num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lastRenderedPageBreak/>
        <w:t>交易标的预估值及拟定价等（如适用）。上市公司应当披露交易标的价值预估的基本情况，包括所采用的估值方法、增减值幅度等，简要分析预估合理性（如适用）。如无法披露预估值及拟定价的，应当说明无法披露的原因及影响；</w:t>
      </w:r>
    </w:p>
    <w:p w14:paraId="185736A1"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相关证券服务机构未完成审计、评估或估值、盈利预测审核的（如涉及），上市公司应当</w:t>
      </w:r>
      <w:proofErr w:type="gramStart"/>
      <w:r>
        <w:rPr>
          <w:rFonts w:ascii="仿宋_GB2312" w:eastAsia="仿宋_GB2312" w:hAnsi="宋体" w:cs="宋体" w:hint="eastAsia"/>
          <w:sz w:val="30"/>
          <w:szCs w:val="30"/>
        </w:rPr>
        <w:t>作出</w:t>
      </w:r>
      <w:proofErr w:type="gramEnd"/>
      <w:r>
        <w:rPr>
          <w:rFonts w:ascii="仿宋_GB2312" w:eastAsia="仿宋_GB2312" w:hAnsi="宋体" w:cs="宋体" w:hint="eastAsia"/>
          <w:sz w:val="30"/>
          <w:szCs w:val="30"/>
        </w:rPr>
        <w:t>“相关资产经审计的财务数据、评估或估值结果以及经审核的盈利预测数据（如涉及）将在重大资产重组报告书中予以披露”的特别提示以及“相关资产经审计的财务数据、评估或估值最终结果可能与预案披露情况存在较大差异”的风险揭示。</w:t>
      </w:r>
    </w:p>
    <w:p w14:paraId="185736A2"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第十节 交易方式</w:t>
      </w:r>
    </w:p>
    <w:p w14:paraId="185736A3"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十八、重组支付方式情况。上市公司支付现金购买资产的，应当披露资金来源。上市公司发行股份购买资产的，应当披露发行股份的定价及依据、本次发行股份购买资产的董事会决议明确的发行价格调整方案等相关信息。</w:t>
      </w:r>
    </w:p>
    <w:p w14:paraId="185736A4"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上市公司通过发行优先股、向特定对象发行可转换公司债</w:t>
      </w:r>
      <w:proofErr w:type="gramStart"/>
      <w:r>
        <w:rPr>
          <w:rFonts w:ascii="仿宋_GB2312" w:eastAsia="仿宋_GB2312" w:hAnsi="宋体" w:cs="宋体" w:hint="eastAsia"/>
          <w:sz w:val="30"/>
          <w:szCs w:val="30"/>
        </w:rPr>
        <w:t>券</w:t>
      </w:r>
      <w:proofErr w:type="gramEnd"/>
      <w:r>
        <w:rPr>
          <w:rFonts w:ascii="仿宋_GB2312" w:eastAsia="仿宋_GB2312" w:hAnsi="宋体" w:cs="宋体" w:hint="eastAsia"/>
          <w:sz w:val="30"/>
          <w:szCs w:val="30"/>
        </w:rPr>
        <w:t>、定向权证、存托凭证等购买资产的，应当比照前述发行股份的要求披露相关信息。</w:t>
      </w:r>
    </w:p>
    <w:p w14:paraId="185736A5"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十九、交易方案涉及吸收合并的，应当披露换股价格及确定方法、本次吸收合并的董事会决议明确的换股价格调整方案、异议股东权利保护安排、债权人权利保护安排等相关信息。</w:t>
      </w:r>
    </w:p>
    <w:p w14:paraId="185736A6"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二十、交易方案涉及募集配套资金的，应当简要披露募集配</w:t>
      </w:r>
      <w:r>
        <w:rPr>
          <w:rFonts w:ascii="仿宋_GB2312" w:eastAsia="仿宋_GB2312" w:hAnsi="宋体" w:cs="宋体" w:hint="eastAsia"/>
          <w:sz w:val="30"/>
          <w:szCs w:val="30"/>
        </w:rPr>
        <w:lastRenderedPageBreak/>
        <w:t>套资金的预计金额及相当于发行证券购买资产交易价格的比例、证券发行情况、用途等相关信息。</w:t>
      </w:r>
    </w:p>
    <w:p w14:paraId="185736A7"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第十一节 风险因素</w:t>
      </w:r>
    </w:p>
    <w:p w14:paraId="185736A8"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二十一、上市公司应当就本次交易对重组后上市公司经营和财务产生严重不利影响的重大风险因素，及本次交易行为存在的重大不确定性风险等予以充分披露。上市公司应披露的风险包括但不限于以下内容：</w:t>
      </w:r>
    </w:p>
    <w:p w14:paraId="185736A9"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（一）本次重组审批风险。本次交易行为涉及有关报批事项的，应当详细说明已向有关主管部门报批的进展情况和尚需呈报批准的程序，以及可能无法获得批准的风险（如适用）；</w:t>
      </w:r>
    </w:p>
    <w:p w14:paraId="185736AA"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（二）交易标的权属风险。如抵押、质押等权利限制，诉讼、仲裁或司法强制执行等重大争议或者妨碍权属转移的其他情形可能导致交易标的存在潜在不利影响和风险等（如适用）；</w:t>
      </w:r>
    </w:p>
    <w:p w14:paraId="185736AB"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（三）交易标的评估或估值风险。本次评估或估值存在报告期变动频繁且对评估或估值影响较大的指标，该指标的预测对本次评估或估值的影响，进而对交易价格公允性的影响等（如适用）；</w:t>
      </w:r>
    </w:p>
    <w:p w14:paraId="185736AC"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（四）交易标的对上市公司持续经营影响的风险。由于政策、市场、技术、汇率等因素引致的风险（如适用）；</w:t>
      </w:r>
    </w:p>
    <w:p w14:paraId="185736AD"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五）公司治理与整合风险。上市公司管理水平不能适应重组后上市公司规模扩张或业务变化的风险、交易标的与上市公司原有业务、资产、财务、人员、机构等方面的整合风险。如本次拟购买的主要交易标的不属于同行业或紧密相关的上下游行业</w:t>
      </w:r>
      <w:r>
        <w:rPr>
          <w:rFonts w:ascii="仿宋_GB2312" w:eastAsia="仿宋_GB2312" w:hAnsi="宋体" w:cs="宋体" w:hint="eastAsia"/>
          <w:sz w:val="30"/>
          <w:szCs w:val="30"/>
        </w:rPr>
        <w:lastRenderedPageBreak/>
        <w:t>的，应充分披露本次交易的必要性以及后续整合存在的不确定性及风险（如适用）；</w:t>
      </w:r>
    </w:p>
    <w:p w14:paraId="185736AE"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（六）财务风险。本次重组导致上市公司财务结构发生重大变化的风险（如适用）；</w:t>
      </w:r>
    </w:p>
    <w:p w14:paraId="185736AF"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（七）内幕交易风险。剔除大盘因素和同行业板块因素影响，公司股价在重组停牌前或者重组方案首次披露前20个交易日内累计涨跌幅超过20%的相关情况及由此产生的风险（如适用）；</w:t>
      </w:r>
    </w:p>
    <w:p w14:paraId="185736B0"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（八）存在未弥补亏损风险。本次重组后，上市公司存在未弥补亏损的，应当充分披露相关情况并提示对公司分红等事项的影响（如适用）；</w:t>
      </w:r>
    </w:p>
    <w:p w14:paraId="185736B1"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（九）其他与本次重组相关的风险（如适用）。</w:t>
      </w:r>
    </w:p>
    <w:p w14:paraId="185736B2" w14:textId="77777777" w:rsidR="0080374A" w:rsidRDefault="00DB0DD4">
      <w:pPr>
        <w:spacing w:line="360" w:lineRule="auto"/>
        <w:jc w:val="center"/>
        <w:rPr>
          <w:rFonts w:ascii="仿宋_GB2312" w:eastAsia="仿宋_GB2312" w:hAnsi="宋体" w:cs="宋体" w:hint="eastAsia"/>
          <w:b/>
          <w:sz w:val="30"/>
          <w:szCs w:val="30"/>
        </w:rPr>
      </w:pPr>
      <w:r>
        <w:rPr>
          <w:rFonts w:ascii="仿宋_GB2312" w:eastAsia="仿宋_GB2312" w:hAnsi="宋体" w:cs="宋体" w:hint="eastAsia"/>
          <w:b/>
          <w:sz w:val="30"/>
          <w:szCs w:val="30"/>
        </w:rPr>
        <w:t>第十二节 其他重要事项</w:t>
      </w:r>
    </w:p>
    <w:p w14:paraId="185736B3"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二十二、上市公司的控股股东及其一致行动人对本次重组的原则性意见，以及上市公司控股股东及其一致行动人、董事、高级管理人员自本次重组预案披露之日起至</w:t>
      </w:r>
      <w:r>
        <w:rPr>
          <w:rFonts w:ascii="仿宋_GB2312" w:eastAsia="仿宋_GB2312" w:hint="eastAsia"/>
          <w:sz w:val="30"/>
          <w:szCs w:val="30"/>
        </w:rPr>
        <w:t>完成资产交付或者过户</w:t>
      </w:r>
      <w:r>
        <w:rPr>
          <w:rFonts w:ascii="仿宋_GB2312" w:eastAsia="仿宋_GB2312" w:hAnsi="宋体" w:cs="宋体" w:hint="eastAsia"/>
          <w:sz w:val="30"/>
          <w:szCs w:val="30"/>
        </w:rPr>
        <w:t>期间的股份减持计划。</w:t>
      </w:r>
    </w:p>
    <w:p w14:paraId="185736B4"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上市公司披露为无控股股东的，应当比照前述要求，披露第一大股东及持股5%以上股东的意见及减持计划。</w:t>
      </w:r>
    </w:p>
    <w:p w14:paraId="185736B5"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t>二十三、本次重组相关主体是否存在依据《</w:t>
      </w:r>
      <w:r>
        <w:rPr>
          <w:rFonts w:ascii="仿宋_GB2312" w:eastAsia="仿宋_GB2312" w:hAnsi="Calibri" w:cs="Times New Roman" w:hint="eastAsia"/>
          <w:sz w:val="30"/>
          <w:szCs w:val="30"/>
        </w:rPr>
        <w:t>上市公司监管指引第7号——上市公司重大资产重组相关股票异常交易监管》</w:t>
      </w:r>
      <w:r>
        <w:rPr>
          <w:rFonts w:ascii="仿宋_GB2312" w:eastAsia="仿宋_GB2312" w:hAnsi="宋体" w:cs="宋体" w:hint="eastAsia"/>
          <w:sz w:val="30"/>
          <w:szCs w:val="30"/>
        </w:rPr>
        <w:t>第十二条或者本指引第三十条不得参与任何上市公司重大资产重组情形的说明。</w:t>
      </w:r>
    </w:p>
    <w:p w14:paraId="185736B6" w14:textId="77777777" w:rsidR="0080374A" w:rsidRDefault="00DB0DD4">
      <w:pPr>
        <w:spacing w:line="360" w:lineRule="auto"/>
        <w:ind w:firstLineChars="200" w:firstLine="600"/>
        <w:rPr>
          <w:rFonts w:ascii="仿宋_GB2312" w:eastAsia="仿宋_GB2312" w:hAnsi="宋体" w:cs="宋体" w:hint="eastAsia"/>
          <w:sz w:val="30"/>
          <w:szCs w:val="30"/>
        </w:rPr>
      </w:pPr>
      <w:r>
        <w:rPr>
          <w:rFonts w:ascii="仿宋_GB2312" w:eastAsia="仿宋_GB2312" w:hAnsi="宋体" w:cs="宋体" w:hint="eastAsia"/>
          <w:sz w:val="30"/>
          <w:szCs w:val="30"/>
        </w:rPr>
        <w:lastRenderedPageBreak/>
        <w:t>二十四、相关证券服务机构对重组预案已披露内容发表的核查意见（如适用）。</w:t>
      </w:r>
    </w:p>
    <w:p w14:paraId="185736B7" w14:textId="77777777" w:rsidR="0080374A" w:rsidRDefault="0080374A">
      <w:pPr>
        <w:spacing w:line="360" w:lineRule="auto"/>
        <w:ind w:firstLineChars="200" w:firstLine="600"/>
        <w:rPr>
          <w:rFonts w:ascii="仿宋_GB2312" w:eastAsia="仿宋_GB2312" w:hAnsi="宋体" w:cs="宋体" w:hint="eastAsia"/>
          <w:sz w:val="30"/>
          <w:szCs w:val="30"/>
        </w:rPr>
      </w:pPr>
    </w:p>
    <w:p w14:paraId="185736B8" w14:textId="5A957A31" w:rsidR="0080374A" w:rsidRDefault="0080374A" w:rsidP="00AA04F7">
      <w:pPr>
        <w:widowControl/>
        <w:spacing w:line="360" w:lineRule="auto"/>
        <w:jc w:val="left"/>
        <w:rPr>
          <w:rFonts w:ascii="仿宋_GB2312" w:eastAsia="仿宋_GB2312" w:hAnsi="仿宋_GB2312" w:cs="仿宋_GB2312" w:hint="eastAsia"/>
          <w:b/>
          <w:kern w:val="0"/>
          <w:sz w:val="30"/>
          <w:szCs w:val="30"/>
        </w:rPr>
      </w:pPr>
    </w:p>
    <w:sectPr w:rsidR="0080374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736F6" w14:textId="77777777" w:rsidR="00CC72D8" w:rsidRDefault="00CC72D8">
      <w:r>
        <w:separator/>
      </w:r>
    </w:p>
  </w:endnote>
  <w:endnote w:type="continuationSeparator" w:id="0">
    <w:p w14:paraId="185736F7" w14:textId="77777777" w:rsidR="00CC72D8" w:rsidRDefault="00CC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5582579"/>
    </w:sdtPr>
    <w:sdtEndPr/>
    <w:sdtContent>
      <w:p w14:paraId="185736F8" w14:textId="77777777" w:rsidR="0080374A" w:rsidRDefault="00DB0DD4">
        <w:pPr>
          <w:pStyle w:val="a7"/>
          <w:jc w:val="cente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3</w:t>
        </w:r>
        <w:r>
          <w:rPr>
            <w:rFonts w:ascii="Times New Roman" w:hAnsi="Times New Roman" w:cs="Times New Roman"/>
            <w:sz w:val="24"/>
            <w:szCs w:val="24"/>
            <w:lang w:val="zh-CN"/>
          </w:rPr>
          <w:t>3</w:t>
        </w:r>
        <w:r>
          <w:rPr>
            <w:rFonts w:ascii="Times New Roman" w:hAnsi="Times New Roman" w:cs="Times New Roman"/>
            <w:sz w:val="24"/>
            <w:szCs w:val="24"/>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736F4" w14:textId="77777777" w:rsidR="00CC72D8" w:rsidRDefault="00CC72D8">
      <w:r>
        <w:separator/>
      </w:r>
    </w:p>
  </w:footnote>
  <w:footnote w:type="continuationSeparator" w:id="0">
    <w:p w14:paraId="185736F5" w14:textId="77777777" w:rsidR="00CC72D8" w:rsidRDefault="00CC72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A357117"/>
    <w:multiLevelType w:val="singleLevel"/>
    <w:tmpl w:val="8A357117"/>
    <w:lvl w:ilvl="0">
      <w:start w:val="1"/>
      <w:numFmt w:val="chineseCounting"/>
      <w:suff w:val="nothing"/>
      <w:lvlText w:val="%1、"/>
      <w:lvlJc w:val="left"/>
      <w:rPr>
        <w:rFonts w:hint="eastAsia"/>
      </w:rPr>
    </w:lvl>
  </w:abstractNum>
  <w:abstractNum w:abstractNumId="1" w15:restartNumberingAfterBreak="0">
    <w:nsid w:val="C05DC2EC"/>
    <w:multiLevelType w:val="singleLevel"/>
    <w:tmpl w:val="C05DC2EC"/>
    <w:lvl w:ilvl="0">
      <w:start w:val="5"/>
      <w:numFmt w:val="chineseCounting"/>
      <w:suff w:val="nothing"/>
      <w:lvlText w:val="（%1）"/>
      <w:lvlJc w:val="left"/>
      <w:rPr>
        <w:rFonts w:hint="eastAsia"/>
      </w:rPr>
    </w:lvl>
  </w:abstractNum>
  <w:abstractNum w:abstractNumId="2" w15:restartNumberingAfterBreak="0">
    <w:nsid w:val="47816D32"/>
    <w:multiLevelType w:val="multilevel"/>
    <w:tmpl w:val="47816D32"/>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16cid:durableId="2009399387">
    <w:abstractNumId w:val="2"/>
  </w:num>
  <w:num w:numId="2" w16cid:durableId="1322932772">
    <w:abstractNumId w:val="0"/>
  </w:num>
  <w:num w:numId="3" w16cid:durableId="16480509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7B0C"/>
    <w:rsid w:val="00004DE8"/>
    <w:rsid w:val="000107E6"/>
    <w:rsid w:val="00034408"/>
    <w:rsid w:val="00036DB4"/>
    <w:rsid w:val="00037F72"/>
    <w:rsid w:val="000411EA"/>
    <w:rsid w:val="000467F0"/>
    <w:rsid w:val="00060059"/>
    <w:rsid w:val="00061F1F"/>
    <w:rsid w:val="00065718"/>
    <w:rsid w:val="00070710"/>
    <w:rsid w:val="0007543E"/>
    <w:rsid w:val="000940F3"/>
    <w:rsid w:val="0009627F"/>
    <w:rsid w:val="000A24C7"/>
    <w:rsid w:val="000A2B7F"/>
    <w:rsid w:val="000A77B8"/>
    <w:rsid w:val="000B2D67"/>
    <w:rsid w:val="000B59DC"/>
    <w:rsid w:val="000B7614"/>
    <w:rsid w:val="000B7FD5"/>
    <w:rsid w:val="000C0116"/>
    <w:rsid w:val="000C068A"/>
    <w:rsid w:val="000C18D7"/>
    <w:rsid w:val="000C3EE8"/>
    <w:rsid w:val="000C708C"/>
    <w:rsid w:val="000D20BE"/>
    <w:rsid w:val="000D2314"/>
    <w:rsid w:val="000D2AB4"/>
    <w:rsid w:val="000D45D6"/>
    <w:rsid w:val="000D6507"/>
    <w:rsid w:val="000F28FE"/>
    <w:rsid w:val="001002BF"/>
    <w:rsid w:val="00104B66"/>
    <w:rsid w:val="00125F21"/>
    <w:rsid w:val="00127807"/>
    <w:rsid w:val="00131A91"/>
    <w:rsid w:val="0013272C"/>
    <w:rsid w:val="00147DCE"/>
    <w:rsid w:val="00153B46"/>
    <w:rsid w:val="00162E9A"/>
    <w:rsid w:val="001653DA"/>
    <w:rsid w:val="001678A1"/>
    <w:rsid w:val="00172D72"/>
    <w:rsid w:val="00173720"/>
    <w:rsid w:val="00181A38"/>
    <w:rsid w:val="0018213F"/>
    <w:rsid w:val="0018246A"/>
    <w:rsid w:val="00184645"/>
    <w:rsid w:val="00192A3A"/>
    <w:rsid w:val="001B494B"/>
    <w:rsid w:val="001B4A6F"/>
    <w:rsid w:val="001C3728"/>
    <w:rsid w:val="001D2741"/>
    <w:rsid w:val="001D371D"/>
    <w:rsid w:val="001E0974"/>
    <w:rsid w:val="001E3A11"/>
    <w:rsid w:val="001E3BF1"/>
    <w:rsid w:val="001F429F"/>
    <w:rsid w:val="00201E31"/>
    <w:rsid w:val="00212E21"/>
    <w:rsid w:val="002238C6"/>
    <w:rsid w:val="00224289"/>
    <w:rsid w:val="002274CD"/>
    <w:rsid w:val="0023047B"/>
    <w:rsid w:val="0023359F"/>
    <w:rsid w:val="002400DB"/>
    <w:rsid w:val="002530D6"/>
    <w:rsid w:val="00254B59"/>
    <w:rsid w:val="002601C1"/>
    <w:rsid w:val="00262B8E"/>
    <w:rsid w:val="0026630F"/>
    <w:rsid w:val="00273207"/>
    <w:rsid w:val="0028256B"/>
    <w:rsid w:val="00294757"/>
    <w:rsid w:val="00294A06"/>
    <w:rsid w:val="00294BF9"/>
    <w:rsid w:val="00297C6D"/>
    <w:rsid w:val="002A054E"/>
    <w:rsid w:val="002A0E21"/>
    <w:rsid w:val="002A36C8"/>
    <w:rsid w:val="002A3A97"/>
    <w:rsid w:val="002A5708"/>
    <w:rsid w:val="002B00A4"/>
    <w:rsid w:val="002B24D9"/>
    <w:rsid w:val="002B3BBE"/>
    <w:rsid w:val="002D15C9"/>
    <w:rsid w:val="002D1CF4"/>
    <w:rsid w:val="002D757A"/>
    <w:rsid w:val="002E57E3"/>
    <w:rsid w:val="002F1E29"/>
    <w:rsid w:val="002F445E"/>
    <w:rsid w:val="002F4927"/>
    <w:rsid w:val="002F5DBA"/>
    <w:rsid w:val="00305044"/>
    <w:rsid w:val="003051C7"/>
    <w:rsid w:val="003169A0"/>
    <w:rsid w:val="00317D81"/>
    <w:rsid w:val="00321258"/>
    <w:rsid w:val="0032650D"/>
    <w:rsid w:val="0032673D"/>
    <w:rsid w:val="00326A5E"/>
    <w:rsid w:val="0032711B"/>
    <w:rsid w:val="00330F8A"/>
    <w:rsid w:val="00331B5D"/>
    <w:rsid w:val="003417AD"/>
    <w:rsid w:val="00342961"/>
    <w:rsid w:val="00342DEE"/>
    <w:rsid w:val="003512F6"/>
    <w:rsid w:val="003528AA"/>
    <w:rsid w:val="003560D8"/>
    <w:rsid w:val="0037401F"/>
    <w:rsid w:val="00374FC5"/>
    <w:rsid w:val="0038043E"/>
    <w:rsid w:val="00383F07"/>
    <w:rsid w:val="003862AF"/>
    <w:rsid w:val="00386B81"/>
    <w:rsid w:val="00396967"/>
    <w:rsid w:val="003A0BB5"/>
    <w:rsid w:val="003D6CE9"/>
    <w:rsid w:val="00400434"/>
    <w:rsid w:val="00427B4D"/>
    <w:rsid w:val="004322B3"/>
    <w:rsid w:val="0044315B"/>
    <w:rsid w:val="00446B15"/>
    <w:rsid w:val="0045036C"/>
    <w:rsid w:val="00454ED5"/>
    <w:rsid w:val="00470535"/>
    <w:rsid w:val="0047647D"/>
    <w:rsid w:val="00490B54"/>
    <w:rsid w:val="004931BC"/>
    <w:rsid w:val="00494794"/>
    <w:rsid w:val="00494832"/>
    <w:rsid w:val="004A3D31"/>
    <w:rsid w:val="004A628E"/>
    <w:rsid w:val="004A6469"/>
    <w:rsid w:val="004B0BF8"/>
    <w:rsid w:val="004B6CEC"/>
    <w:rsid w:val="004B7487"/>
    <w:rsid w:val="004C79E1"/>
    <w:rsid w:val="004D4626"/>
    <w:rsid w:val="004D497F"/>
    <w:rsid w:val="004E4FBB"/>
    <w:rsid w:val="004F71CD"/>
    <w:rsid w:val="0050161F"/>
    <w:rsid w:val="005128FB"/>
    <w:rsid w:val="00513362"/>
    <w:rsid w:val="005220B8"/>
    <w:rsid w:val="0052432D"/>
    <w:rsid w:val="005249C0"/>
    <w:rsid w:val="005267CD"/>
    <w:rsid w:val="00530AC3"/>
    <w:rsid w:val="0053142C"/>
    <w:rsid w:val="00531598"/>
    <w:rsid w:val="00531AB4"/>
    <w:rsid w:val="00534319"/>
    <w:rsid w:val="00536C2E"/>
    <w:rsid w:val="005417A9"/>
    <w:rsid w:val="005530AD"/>
    <w:rsid w:val="005675B8"/>
    <w:rsid w:val="00574A4C"/>
    <w:rsid w:val="00575055"/>
    <w:rsid w:val="00582422"/>
    <w:rsid w:val="00591A42"/>
    <w:rsid w:val="00592826"/>
    <w:rsid w:val="005A1CB1"/>
    <w:rsid w:val="005B1780"/>
    <w:rsid w:val="005D09F2"/>
    <w:rsid w:val="005D1125"/>
    <w:rsid w:val="005D7487"/>
    <w:rsid w:val="005E28B5"/>
    <w:rsid w:val="005E5759"/>
    <w:rsid w:val="005F4B29"/>
    <w:rsid w:val="00600495"/>
    <w:rsid w:val="00600513"/>
    <w:rsid w:val="00601D4E"/>
    <w:rsid w:val="00612EB7"/>
    <w:rsid w:val="00615FAD"/>
    <w:rsid w:val="00616176"/>
    <w:rsid w:val="00647555"/>
    <w:rsid w:val="00661D95"/>
    <w:rsid w:val="00663A7C"/>
    <w:rsid w:val="00664984"/>
    <w:rsid w:val="00671149"/>
    <w:rsid w:val="006720D4"/>
    <w:rsid w:val="006747EA"/>
    <w:rsid w:val="00677408"/>
    <w:rsid w:val="0068062D"/>
    <w:rsid w:val="006836B4"/>
    <w:rsid w:val="00684AAB"/>
    <w:rsid w:val="00686E91"/>
    <w:rsid w:val="006927D1"/>
    <w:rsid w:val="00695CF6"/>
    <w:rsid w:val="006A048A"/>
    <w:rsid w:val="006B4682"/>
    <w:rsid w:val="006B603A"/>
    <w:rsid w:val="006C2B1E"/>
    <w:rsid w:val="006D53DA"/>
    <w:rsid w:val="006E3114"/>
    <w:rsid w:val="006E4FC9"/>
    <w:rsid w:val="006F1683"/>
    <w:rsid w:val="006F18B6"/>
    <w:rsid w:val="006F38CC"/>
    <w:rsid w:val="006F4DF3"/>
    <w:rsid w:val="0070301A"/>
    <w:rsid w:val="00703B05"/>
    <w:rsid w:val="00706314"/>
    <w:rsid w:val="0070720D"/>
    <w:rsid w:val="00724E7F"/>
    <w:rsid w:val="007424E9"/>
    <w:rsid w:val="007501E4"/>
    <w:rsid w:val="007631EC"/>
    <w:rsid w:val="007636B7"/>
    <w:rsid w:val="00764936"/>
    <w:rsid w:val="00780541"/>
    <w:rsid w:val="007822C6"/>
    <w:rsid w:val="0078628D"/>
    <w:rsid w:val="00787D97"/>
    <w:rsid w:val="00792FB9"/>
    <w:rsid w:val="00795DC0"/>
    <w:rsid w:val="0079774E"/>
    <w:rsid w:val="007B1E44"/>
    <w:rsid w:val="007B4EA5"/>
    <w:rsid w:val="007B6F18"/>
    <w:rsid w:val="007C7A18"/>
    <w:rsid w:val="007D064C"/>
    <w:rsid w:val="007D16BE"/>
    <w:rsid w:val="007D694E"/>
    <w:rsid w:val="007D7F02"/>
    <w:rsid w:val="007E4672"/>
    <w:rsid w:val="007E6F21"/>
    <w:rsid w:val="008027F2"/>
    <w:rsid w:val="0080299B"/>
    <w:rsid w:val="0080374A"/>
    <w:rsid w:val="00814172"/>
    <w:rsid w:val="00830B0A"/>
    <w:rsid w:val="008313AD"/>
    <w:rsid w:val="008410E1"/>
    <w:rsid w:val="00847C7E"/>
    <w:rsid w:val="008525D7"/>
    <w:rsid w:val="0085365C"/>
    <w:rsid w:val="00854D0B"/>
    <w:rsid w:val="008558DF"/>
    <w:rsid w:val="00856C3A"/>
    <w:rsid w:val="008636CA"/>
    <w:rsid w:val="0086420D"/>
    <w:rsid w:val="00864317"/>
    <w:rsid w:val="0087124B"/>
    <w:rsid w:val="00872915"/>
    <w:rsid w:val="008769F8"/>
    <w:rsid w:val="00890E2A"/>
    <w:rsid w:val="00896106"/>
    <w:rsid w:val="008A4117"/>
    <w:rsid w:val="008A7CA0"/>
    <w:rsid w:val="008B084A"/>
    <w:rsid w:val="008B6C75"/>
    <w:rsid w:val="008C032D"/>
    <w:rsid w:val="008C04BA"/>
    <w:rsid w:val="008C4F47"/>
    <w:rsid w:val="008D310E"/>
    <w:rsid w:val="008E77E5"/>
    <w:rsid w:val="008F250C"/>
    <w:rsid w:val="00902011"/>
    <w:rsid w:val="00922EE0"/>
    <w:rsid w:val="00946503"/>
    <w:rsid w:val="009470F4"/>
    <w:rsid w:val="00955E92"/>
    <w:rsid w:val="009561DF"/>
    <w:rsid w:val="009567B5"/>
    <w:rsid w:val="00957B70"/>
    <w:rsid w:val="00960EF6"/>
    <w:rsid w:val="00963CEB"/>
    <w:rsid w:val="00964B0B"/>
    <w:rsid w:val="00975AFE"/>
    <w:rsid w:val="00977B5D"/>
    <w:rsid w:val="009917E7"/>
    <w:rsid w:val="00996481"/>
    <w:rsid w:val="00996FC7"/>
    <w:rsid w:val="009A2F55"/>
    <w:rsid w:val="009A58F2"/>
    <w:rsid w:val="009A7280"/>
    <w:rsid w:val="009B56F6"/>
    <w:rsid w:val="009B59EA"/>
    <w:rsid w:val="009C4678"/>
    <w:rsid w:val="009E2F41"/>
    <w:rsid w:val="009E35B9"/>
    <w:rsid w:val="009F61CF"/>
    <w:rsid w:val="009F66BD"/>
    <w:rsid w:val="00A1614A"/>
    <w:rsid w:val="00A20E23"/>
    <w:rsid w:val="00A263C8"/>
    <w:rsid w:val="00A35D08"/>
    <w:rsid w:val="00A46F74"/>
    <w:rsid w:val="00A50AF0"/>
    <w:rsid w:val="00A514E5"/>
    <w:rsid w:val="00A52A7D"/>
    <w:rsid w:val="00A56793"/>
    <w:rsid w:val="00A57970"/>
    <w:rsid w:val="00A614E8"/>
    <w:rsid w:val="00A7301C"/>
    <w:rsid w:val="00A812C3"/>
    <w:rsid w:val="00A852F6"/>
    <w:rsid w:val="00A9137E"/>
    <w:rsid w:val="00A95D7B"/>
    <w:rsid w:val="00A97CFD"/>
    <w:rsid w:val="00AA04F7"/>
    <w:rsid w:val="00AA0B6F"/>
    <w:rsid w:val="00AA1DD9"/>
    <w:rsid w:val="00AA3C7F"/>
    <w:rsid w:val="00AA77F3"/>
    <w:rsid w:val="00AA7F1B"/>
    <w:rsid w:val="00AC242A"/>
    <w:rsid w:val="00AD37DE"/>
    <w:rsid w:val="00AD3A89"/>
    <w:rsid w:val="00AD45BA"/>
    <w:rsid w:val="00AD59D8"/>
    <w:rsid w:val="00AE3142"/>
    <w:rsid w:val="00AF3187"/>
    <w:rsid w:val="00B01689"/>
    <w:rsid w:val="00B06A59"/>
    <w:rsid w:val="00B07391"/>
    <w:rsid w:val="00B07B3B"/>
    <w:rsid w:val="00B134D0"/>
    <w:rsid w:val="00B17AF4"/>
    <w:rsid w:val="00B25418"/>
    <w:rsid w:val="00B3028F"/>
    <w:rsid w:val="00B3581C"/>
    <w:rsid w:val="00B4640D"/>
    <w:rsid w:val="00B53593"/>
    <w:rsid w:val="00B5613E"/>
    <w:rsid w:val="00B6337D"/>
    <w:rsid w:val="00B640A1"/>
    <w:rsid w:val="00B71AED"/>
    <w:rsid w:val="00B73486"/>
    <w:rsid w:val="00B831D9"/>
    <w:rsid w:val="00B87E17"/>
    <w:rsid w:val="00B904C1"/>
    <w:rsid w:val="00B90DAB"/>
    <w:rsid w:val="00B97A61"/>
    <w:rsid w:val="00BA5841"/>
    <w:rsid w:val="00BA6F83"/>
    <w:rsid w:val="00BB56E6"/>
    <w:rsid w:val="00BC7A12"/>
    <w:rsid w:val="00BD0F9D"/>
    <w:rsid w:val="00BD17F2"/>
    <w:rsid w:val="00BF1BC8"/>
    <w:rsid w:val="00BF6FB4"/>
    <w:rsid w:val="00C11795"/>
    <w:rsid w:val="00C15C11"/>
    <w:rsid w:val="00C21C8A"/>
    <w:rsid w:val="00C26F7A"/>
    <w:rsid w:val="00C45A27"/>
    <w:rsid w:val="00C465C2"/>
    <w:rsid w:val="00C47CD6"/>
    <w:rsid w:val="00C52C27"/>
    <w:rsid w:val="00C56390"/>
    <w:rsid w:val="00C5776B"/>
    <w:rsid w:val="00C66424"/>
    <w:rsid w:val="00C75345"/>
    <w:rsid w:val="00C9207D"/>
    <w:rsid w:val="00C9578C"/>
    <w:rsid w:val="00CA28BF"/>
    <w:rsid w:val="00CA72DC"/>
    <w:rsid w:val="00CC1C07"/>
    <w:rsid w:val="00CC2892"/>
    <w:rsid w:val="00CC72D8"/>
    <w:rsid w:val="00CD03CC"/>
    <w:rsid w:val="00CD1715"/>
    <w:rsid w:val="00CD32F6"/>
    <w:rsid w:val="00CE413A"/>
    <w:rsid w:val="00CE5AF8"/>
    <w:rsid w:val="00D05AB2"/>
    <w:rsid w:val="00D13632"/>
    <w:rsid w:val="00D16BE4"/>
    <w:rsid w:val="00D16D6D"/>
    <w:rsid w:val="00D170BD"/>
    <w:rsid w:val="00D17642"/>
    <w:rsid w:val="00D21E9C"/>
    <w:rsid w:val="00D23137"/>
    <w:rsid w:val="00D25846"/>
    <w:rsid w:val="00D25E76"/>
    <w:rsid w:val="00D35B84"/>
    <w:rsid w:val="00D37491"/>
    <w:rsid w:val="00D42A7B"/>
    <w:rsid w:val="00D4461B"/>
    <w:rsid w:val="00D44C14"/>
    <w:rsid w:val="00D50110"/>
    <w:rsid w:val="00D53F00"/>
    <w:rsid w:val="00D547C3"/>
    <w:rsid w:val="00D65090"/>
    <w:rsid w:val="00D70FA9"/>
    <w:rsid w:val="00D754AF"/>
    <w:rsid w:val="00D87484"/>
    <w:rsid w:val="00D95848"/>
    <w:rsid w:val="00D96D60"/>
    <w:rsid w:val="00D9743D"/>
    <w:rsid w:val="00DB0DD4"/>
    <w:rsid w:val="00DB0F29"/>
    <w:rsid w:val="00DB29C8"/>
    <w:rsid w:val="00DB38C2"/>
    <w:rsid w:val="00DB38F0"/>
    <w:rsid w:val="00DC2CF8"/>
    <w:rsid w:val="00DE09AC"/>
    <w:rsid w:val="00DE0A6B"/>
    <w:rsid w:val="00DF13BB"/>
    <w:rsid w:val="00DF5FF4"/>
    <w:rsid w:val="00E0396E"/>
    <w:rsid w:val="00E05712"/>
    <w:rsid w:val="00E12AB9"/>
    <w:rsid w:val="00E15C8C"/>
    <w:rsid w:val="00E261D3"/>
    <w:rsid w:val="00E26230"/>
    <w:rsid w:val="00E302BE"/>
    <w:rsid w:val="00E30CBA"/>
    <w:rsid w:val="00E330E3"/>
    <w:rsid w:val="00E36733"/>
    <w:rsid w:val="00E5401E"/>
    <w:rsid w:val="00E647EB"/>
    <w:rsid w:val="00E700CA"/>
    <w:rsid w:val="00E7105A"/>
    <w:rsid w:val="00E8602D"/>
    <w:rsid w:val="00E90D18"/>
    <w:rsid w:val="00E93C58"/>
    <w:rsid w:val="00E94224"/>
    <w:rsid w:val="00E960D4"/>
    <w:rsid w:val="00EA036A"/>
    <w:rsid w:val="00EA2B58"/>
    <w:rsid w:val="00EB033E"/>
    <w:rsid w:val="00EB3352"/>
    <w:rsid w:val="00EC2218"/>
    <w:rsid w:val="00EC4713"/>
    <w:rsid w:val="00EC5510"/>
    <w:rsid w:val="00EC76E9"/>
    <w:rsid w:val="00ED29DD"/>
    <w:rsid w:val="00ED2C59"/>
    <w:rsid w:val="00ED3ACE"/>
    <w:rsid w:val="00ED5D35"/>
    <w:rsid w:val="00EE3691"/>
    <w:rsid w:val="00EF2029"/>
    <w:rsid w:val="00EF58DB"/>
    <w:rsid w:val="00F041CB"/>
    <w:rsid w:val="00F060D9"/>
    <w:rsid w:val="00F071CE"/>
    <w:rsid w:val="00F16CBF"/>
    <w:rsid w:val="00F20E06"/>
    <w:rsid w:val="00F25E6A"/>
    <w:rsid w:val="00F37554"/>
    <w:rsid w:val="00F45A5B"/>
    <w:rsid w:val="00F4750C"/>
    <w:rsid w:val="00F57E3D"/>
    <w:rsid w:val="00F71D1C"/>
    <w:rsid w:val="00F74D4F"/>
    <w:rsid w:val="00F832B3"/>
    <w:rsid w:val="00FA4CE3"/>
    <w:rsid w:val="00FA5B9D"/>
    <w:rsid w:val="00FA7B0C"/>
    <w:rsid w:val="00FC036F"/>
    <w:rsid w:val="00FC280B"/>
    <w:rsid w:val="00FC38C5"/>
    <w:rsid w:val="00FC3DA6"/>
    <w:rsid w:val="00FD089D"/>
    <w:rsid w:val="00FD772C"/>
    <w:rsid w:val="00FE0ACD"/>
    <w:rsid w:val="00FE7EEE"/>
    <w:rsid w:val="00FF3B4D"/>
    <w:rsid w:val="00FF6615"/>
    <w:rsid w:val="04237B4E"/>
    <w:rsid w:val="050C71B9"/>
    <w:rsid w:val="06953BEE"/>
    <w:rsid w:val="0DDF3EB0"/>
    <w:rsid w:val="0E0F5F2A"/>
    <w:rsid w:val="0F76748F"/>
    <w:rsid w:val="126901C1"/>
    <w:rsid w:val="12913F24"/>
    <w:rsid w:val="15133F8D"/>
    <w:rsid w:val="1A8B191C"/>
    <w:rsid w:val="1DBE097F"/>
    <w:rsid w:val="1E0E6FDF"/>
    <w:rsid w:val="23567486"/>
    <w:rsid w:val="26536E6E"/>
    <w:rsid w:val="2BEC2A7A"/>
    <w:rsid w:val="2EAA249B"/>
    <w:rsid w:val="32360D83"/>
    <w:rsid w:val="33D7682F"/>
    <w:rsid w:val="377417E7"/>
    <w:rsid w:val="3D1A19B0"/>
    <w:rsid w:val="3FE7628D"/>
    <w:rsid w:val="413E31C8"/>
    <w:rsid w:val="435F022D"/>
    <w:rsid w:val="44D75DEC"/>
    <w:rsid w:val="44E61617"/>
    <w:rsid w:val="45DB3091"/>
    <w:rsid w:val="46692220"/>
    <w:rsid w:val="4698321F"/>
    <w:rsid w:val="47367718"/>
    <w:rsid w:val="481669F0"/>
    <w:rsid w:val="48500FC7"/>
    <w:rsid w:val="488E5795"/>
    <w:rsid w:val="4D3378F2"/>
    <w:rsid w:val="522560C0"/>
    <w:rsid w:val="58934A02"/>
    <w:rsid w:val="5BAA38C8"/>
    <w:rsid w:val="5F6F5462"/>
    <w:rsid w:val="657F16A8"/>
    <w:rsid w:val="65BA0AF7"/>
    <w:rsid w:val="6B1F73FF"/>
    <w:rsid w:val="6C7A240A"/>
    <w:rsid w:val="6C861C34"/>
    <w:rsid w:val="6F8729B5"/>
    <w:rsid w:val="74E41AE4"/>
    <w:rsid w:val="751F5703"/>
    <w:rsid w:val="775613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3590"/>
  <w15:docId w15:val="{72E09F1C-03BA-47FC-BD3A-E288ABF1E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widowControl/>
      <w:spacing w:before="100" w:beforeAutospacing="1" w:after="100" w:afterAutospacing="1"/>
      <w:jc w:val="left"/>
    </w:pPr>
    <w:rPr>
      <w:rFonts w:ascii="宋体" w:eastAsia="宋体" w:hAnsi="宋体" w:cs="宋体"/>
      <w:kern w:val="0"/>
      <w:sz w:val="24"/>
      <w:szCs w:val="24"/>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qFormat/>
    <w:rPr>
      <w:sz w:val="21"/>
      <w:szCs w:val="21"/>
    </w:rPr>
  </w:style>
  <w:style w:type="paragraph" w:styleId="af0">
    <w:name w:val="List Paragraph"/>
    <w:basedOn w:val="a"/>
    <w:link w:val="af1"/>
    <w:qFormat/>
    <w:pPr>
      <w:ind w:firstLineChars="200" w:firstLine="420"/>
    </w:pPr>
  </w:style>
  <w:style w:type="character" w:customStyle="1" w:styleId="a4">
    <w:name w:val="批注文字 字符"/>
    <w:basedOn w:val="a0"/>
    <w:link w:val="a3"/>
    <w:uiPriority w:val="99"/>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sz w:val="18"/>
      <w:szCs w:val="18"/>
    </w:rPr>
  </w:style>
  <w:style w:type="paragraph" w:customStyle="1" w:styleId="Default">
    <w:name w:val="Default"/>
    <w:qFormat/>
    <w:pPr>
      <w:widowControl w:val="0"/>
      <w:autoSpaceDE w:val="0"/>
      <w:autoSpaceDN w:val="0"/>
      <w:adjustRightInd w:val="0"/>
    </w:pPr>
    <w:rPr>
      <w:rFonts w:ascii="仿宋_GB2312" w:eastAsia="仿宋_GB2312" w:hAnsi="Calibri" w:cs="仿宋_GB2312"/>
      <w:color w:val="000000"/>
      <w:sz w:val="24"/>
      <w:szCs w:val="24"/>
    </w:rPr>
  </w:style>
  <w:style w:type="character" w:customStyle="1" w:styleId="ad">
    <w:name w:val="批注主题 字符"/>
    <w:basedOn w:val="a4"/>
    <w:link w:val="ac"/>
    <w:uiPriority w:val="99"/>
    <w:semiHidden/>
    <w:qFormat/>
    <w:rPr>
      <w:b/>
      <w:bCs/>
      <w:kern w:val="2"/>
      <w:sz w:val="21"/>
      <w:szCs w:val="22"/>
    </w:rPr>
  </w:style>
  <w:style w:type="paragraph" w:customStyle="1" w:styleId="1">
    <w:name w:val="修订1"/>
    <w:hidden/>
    <w:uiPriority w:val="99"/>
    <w:semiHidden/>
    <w:qFormat/>
    <w:rPr>
      <w:rFonts w:asciiTheme="minorHAnsi" w:eastAsiaTheme="minorEastAsia" w:hAnsiTheme="minorHAnsi" w:cstheme="minorBidi"/>
      <w:kern w:val="2"/>
      <w:sz w:val="21"/>
      <w:szCs w:val="22"/>
    </w:rPr>
  </w:style>
  <w:style w:type="character" w:customStyle="1" w:styleId="af1">
    <w:name w:val="列表段落 字符"/>
    <w:link w:val="af0"/>
    <w:qFormat/>
    <w:rPr>
      <w:kern w:val="2"/>
      <w:sz w:val="21"/>
      <w:szCs w:val="22"/>
    </w:rPr>
  </w:style>
  <w:style w:type="paragraph" w:customStyle="1" w:styleId="2">
    <w:name w:val="修订2"/>
    <w:hidden/>
    <w:uiPriority w:val="99"/>
    <w:semiHidden/>
    <w:qFormat/>
    <w:rPr>
      <w:rFonts w:asciiTheme="minorHAnsi" w:eastAsiaTheme="minorEastAsia" w:hAnsiTheme="minorHAnsi" w:cstheme="minorBidi"/>
      <w:kern w:val="2"/>
      <w:sz w:val="21"/>
      <w:szCs w:val="22"/>
    </w:rPr>
  </w:style>
  <w:style w:type="paragraph" w:customStyle="1" w:styleId="3">
    <w:name w:val="修订3"/>
    <w:hidden/>
    <w:uiPriority w:val="99"/>
    <w:semiHidden/>
    <w:qFormat/>
    <w:rPr>
      <w:rFonts w:asciiTheme="minorHAnsi" w:eastAsiaTheme="minorEastAsia" w:hAnsiTheme="minorHAnsi" w:cstheme="minorBidi"/>
      <w:kern w:val="2"/>
      <w:sz w:val="21"/>
      <w:szCs w:val="22"/>
    </w:rPr>
  </w:style>
  <w:style w:type="paragraph" w:customStyle="1" w:styleId="4">
    <w:name w:val="修订4"/>
    <w:hidden/>
    <w:uiPriority w:val="99"/>
    <w:unhideWhenUsed/>
    <w:qFormat/>
    <w:rPr>
      <w:rFonts w:asciiTheme="minorHAnsi" w:eastAsiaTheme="minorEastAsia" w:hAnsiTheme="minorHAnsi" w:cstheme="minorBidi"/>
      <w:kern w:val="2"/>
      <w:sz w:val="21"/>
      <w:szCs w:val="22"/>
    </w:rPr>
  </w:style>
  <w:style w:type="paragraph" w:customStyle="1" w:styleId="5">
    <w:name w:val="修订5"/>
    <w:hidden/>
    <w:uiPriority w:val="99"/>
    <w:unhideWhenUsed/>
    <w:qFormat/>
    <w:rPr>
      <w:rFonts w:asciiTheme="minorHAnsi" w:eastAsiaTheme="minorEastAsia" w:hAnsiTheme="minorHAnsi" w:cstheme="minorBidi"/>
      <w:kern w:val="2"/>
      <w:sz w:val="21"/>
      <w:szCs w:val="22"/>
    </w:rPr>
  </w:style>
  <w:style w:type="paragraph" w:styleId="af2">
    <w:name w:val="Revision"/>
    <w:hidden/>
    <w:uiPriority w:val="99"/>
    <w:unhideWhenUsed/>
    <w:rsid w:val="00F060D9"/>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10</Pages>
  <Words>687</Words>
  <Characters>3919</Characters>
  <Application>Microsoft Office Word</Application>
  <DocSecurity>0</DocSecurity>
  <Lines>32</Lines>
  <Paragraphs>9</Paragraphs>
  <ScaleCrop>false</ScaleCrop>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WenLiang Zhang</cp:lastModifiedBy>
  <cp:revision>3</cp:revision>
  <cp:lastPrinted>2023-02-02T02:12:00Z</cp:lastPrinted>
  <dcterms:created xsi:type="dcterms:W3CDTF">2024-06-25T07:45:00Z</dcterms:created>
  <dcterms:modified xsi:type="dcterms:W3CDTF">2025-04-11T04:15:00Z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10D562157BA440A1AED040FC5F5D56AF_13</vt:lpwstr>
  </property>
  <property fmtid="{D5CDD505-2E9C-101B-9397-08002B2CF9AE}" pid="4" name="KSOTemplateDocerSaveRecord">
    <vt:lpwstr>eyJoZGlkIjoiNWVjMDAxZGMyMGQ1M2Q2NTZiZjllYWYzNGExYWExZGUiLCJ1c2VySWQiOiIxMzU5Mjk3MTkxIn0=</vt:lpwstr>
  </property>
</Properties>
</file>